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8" w:rsidRPr="00F478DD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F478D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9464C1B" wp14:editId="28E28DF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C38" w:rsidRPr="00F478DD" w:rsidRDefault="00E22C38" w:rsidP="00E22C38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7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22C38" w:rsidRPr="00F478DD" w:rsidRDefault="00E22C38" w:rsidP="00E22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E22C38" w:rsidRPr="00F478DD" w:rsidRDefault="00CD5425" w:rsidP="00CD5425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30.03.</w:t>
      </w:r>
      <w:r w:rsidR="00E22C38" w:rsidRPr="00F478DD">
        <w:rPr>
          <w:rFonts w:ascii="Times New Roman" w:eastAsia="Times New Roman" w:hAnsi="Times New Roman" w:cs="Times New Roman"/>
          <w:sz w:val="26"/>
          <w:lang w:eastAsia="ru-RU"/>
        </w:rPr>
        <w:t>202</w:t>
      </w:r>
      <w:r w:rsidR="00C51352">
        <w:rPr>
          <w:rFonts w:ascii="Times New Roman" w:eastAsia="Times New Roman" w:hAnsi="Times New Roman" w:cs="Times New Roman"/>
          <w:sz w:val="26"/>
          <w:lang w:eastAsia="ru-RU"/>
        </w:rPr>
        <w:t>2</w:t>
      </w:r>
      <w:r w:rsidR="00E22C38" w:rsidRPr="00F478DD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 </w:t>
      </w:r>
      <w:r w:rsidR="00E22C38" w:rsidRPr="00F478DD">
        <w:rPr>
          <w:rFonts w:ascii="Times New Roman" w:eastAsia="Times New Roman" w:hAnsi="Times New Roman" w:cs="Times New Roman"/>
          <w:sz w:val="26"/>
          <w:lang w:eastAsia="ru-RU"/>
        </w:rPr>
        <w:t xml:space="preserve">    г. Но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рильск </w:t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№ 185</w:t>
      </w:r>
    </w:p>
    <w:p w:rsidR="00E22C38" w:rsidRPr="00F478DD" w:rsidRDefault="00E22C38" w:rsidP="00E22C38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E22C38" w:rsidRPr="00F478DD" w:rsidRDefault="00E22C38" w:rsidP="00E22C38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EA2045" w:rsidRPr="00993407" w:rsidRDefault="00EA2045" w:rsidP="00EA2045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340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проведении капитального ремонта общего имущества многоквартирных домов в соответствии с муниципальной программой «Реформирование и модернизация жилищно-коммунального хозяйства и повышение энергетической эффективности»</w:t>
      </w:r>
    </w:p>
    <w:p w:rsidR="00EA2045" w:rsidRDefault="00EA2045" w:rsidP="00EA2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2D6E" w:rsidRDefault="001B2D6E" w:rsidP="00EA2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2045" w:rsidRDefault="00EA2045" w:rsidP="00EA2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78DD">
        <w:rPr>
          <w:rFonts w:ascii="Times New Roman" w:hAnsi="Times New Roman" w:cs="Times New Roman"/>
          <w:sz w:val="26"/>
          <w:szCs w:val="26"/>
        </w:rPr>
        <w:t xml:space="preserve">На основании ходатайства общества с ограниченной ответственностью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5ADA">
        <w:rPr>
          <w:rFonts w:ascii="Times New Roman" w:hAnsi="Times New Roman" w:cs="Times New Roman"/>
          <w:sz w:val="26"/>
          <w:szCs w:val="26"/>
        </w:rPr>
        <w:t>«У</w:t>
      </w:r>
      <w:r>
        <w:rPr>
          <w:rFonts w:ascii="Times New Roman" w:hAnsi="Times New Roman" w:cs="Times New Roman"/>
          <w:sz w:val="26"/>
          <w:szCs w:val="26"/>
        </w:rPr>
        <w:t>правляющая компания «</w:t>
      </w:r>
      <w:r w:rsidR="00D25ADA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25ADA">
        <w:rPr>
          <w:rFonts w:ascii="Times New Roman" w:hAnsi="Times New Roman" w:cs="Times New Roman"/>
          <w:sz w:val="26"/>
          <w:szCs w:val="26"/>
        </w:rPr>
        <w:t xml:space="preserve"> (ИНН 245707084, ОГРН 11024570015</w:t>
      </w:r>
      <w:r w:rsidR="003E2BA7">
        <w:rPr>
          <w:rFonts w:ascii="Times New Roman" w:hAnsi="Times New Roman" w:cs="Times New Roman"/>
          <w:sz w:val="26"/>
          <w:szCs w:val="26"/>
        </w:rPr>
        <w:t>0</w:t>
      </w:r>
      <w:r w:rsidR="00D25ADA">
        <w:rPr>
          <w:rFonts w:ascii="Times New Roman" w:hAnsi="Times New Roman" w:cs="Times New Roman"/>
          <w:sz w:val="26"/>
          <w:szCs w:val="26"/>
        </w:rPr>
        <w:t>3) (далее – ООО «УК «ГОРОД»)</w:t>
      </w:r>
      <w:r w:rsidRPr="00F478DD">
        <w:rPr>
          <w:rFonts w:ascii="Times New Roman" w:hAnsi="Times New Roman" w:cs="Times New Roman"/>
          <w:sz w:val="26"/>
          <w:szCs w:val="26"/>
        </w:rPr>
        <w:t>, в связи с непринятием собственниками помещений многоквартирных домов, включенных в сводный титульный список на проведение ремонта многоквартирных домов муниципального образования город Норильск в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478DD">
        <w:rPr>
          <w:rFonts w:ascii="Times New Roman" w:hAnsi="Times New Roman" w:cs="Times New Roman"/>
          <w:sz w:val="26"/>
          <w:szCs w:val="26"/>
        </w:rPr>
        <w:t xml:space="preserve"> </w:t>
      </w:r>
      <w:r w:rsidRPr="00C602B9">
        <w:rPr>
          <w:rFonts w:ascii="Times New Roman" w:hAnsi="Times New Roman" w:cs="Times New Roman"/>
          <w:sz w:val="26"/>
          <w:szCs w:val="26"/>
        </w:rPr>
        <w:t xml:space="preserve">году, утвержденный Решением комиссии Городского Совета по городскому хозяйству от </w:t>
      </w:r>
      <w:r w:rsidR="00314B55" w:rsidRPr="00314B55">
        <w:rPr>
          <w:rFonts w:ascii="Times New Roman" w:hAnsi="Times New Roman" w:cs="Times New Roman"/>
          <w:sz w:val="26"/>
          <w:szCs w:val="26"/>
        </w:rPr>
        <w:t>03</w:t>
      </w:r>
      <w:r w:rsidRPr="00314B55">
        <w:rPr>
          <w:rFonts w:ascii="Times New Roman" w:hAnsi="Times New Roman" w:cs="Times New Roman"/>
          <w:sz w:val="26"/>
          <w:szCs w:val="26"/>
        </w:rPr>
        <w:t>.</w:t>
      </w:r>
      <w:r w:rsidR="00314B55" w:rsidRPr="00314B55">
        <w:rPr>
          <w:rFonts w:ascii="Times New Roman" w:hAnsi="Times New Roman" w:cs="Times New Roman"/>
          <w:sz w:val="26"/>
          <w:szCs w:val="26"/>
        </w:rPr>
        <w:t>03</w:t>
      </w:r>
      <w:r w:rsidRPr="00314B55">
        <w:rPr>
          <w:rFonts w:ascii="Times New Roman" w:hAnsi="Times New Roman" w:cs="Times New Roman"/>
          <w:sz w:val="26"/>
          <w:szCs w:val="26"/>
        </w:rPr>
        <w:t>.202</w:t>
      </w:r>
      <w:r w:rsidR="00314B55" w:rsidRPr="00314B55">
        <w:rPr>
          <w:rFonts w:ascii="Times New Roman" w:hAnsi="Times New Roman" w:cs="Times New Roman"/>
          <w:sz w:val="26"/>
          <w:szCs w:val="26"/>
        </w:rPr>
        <w:t>2</w:t>
      </w:r>
      <w:r w:rsidRPr="00314B55">
        <w:rPr>
          <w:rFonts w:ascii="Times New Roman" w:hAnsi="Times New Roman" w:cs="Times New Roman"/>
          <w:sz w:val="26"/>
          <w:szCs w:val="26"/>
        </w:rPr>
        <w:t xml:space="preserve"> № </w:t>
      </w:r>
      <w:r w:rsidR="00314B55" w:rsidRPr="00314B55">
        <w:rPr>
          <w:rFonts w:ascii="Times New Roman" w:hAnsi="Times New Roman" w:cs="Times New Roman"/>
          <w:sz w:val="26"/>
          <w:szCs w:val="26"/>
        </w:rPr>
        <w:t>528, от 03.03.2022 № 529</w:t>
      </w:r>
      <w:r w:rsidRPr="00314B55">
        <w:rPr>
          <w:rFonts w:ascii="Times New Roman" w:hAnsi="Times New Roman" w:cs="Times New Roman"/>
          <w:sz w:val="26"/>
          <w:szCs w:val="26"/>
        </w:rPr>
        <w:t xml:space="preserve"> (далее - Сводный титульный список), решения о</w:t>
      </w:r>
      <w:r w:rsidRPr="00C602B9">
        <w:rPr>
          <w:rFonts w:ascii="Times New Roman" w:hAnsi="Times New Roman" w:cs="Times New Roman"/>
          <w:sz w:val="26"/>
          <w:szCs w:val="26"/>
        </w:rPr>
        <w:t xml:space="preserve"> проведении</w:t>
      </w:r>
      <w:r w:rsidRPr="00F478DD">
        <w:rPr>
          <w:rFonts w:ascii="Times New Roman" w:hAnsi="Times New Roman" w:cs="Times New Roman"/>
          <w:sz w:val="26"/>
          <w:szCs w:val="26"/>
        </w:rPr>
        <w:t xml:space="preserve"> капитального ремонта в отношении общего имущества, руководствуясь </w:t>
      </w:r>
      <w:hyperlink r:id="rId6" w:history="1">
        <w:r w:rsidRPr="00F478DD">
          <w:rPr>
            <w:rFonts w:ascii="Times New Roman" w:hAnsi="Times New Roman" w:cs="Times New Roman"/>
            <w:sz w:val="26"/>
            <w:szCs w:val="26"/>
          </w:rPr>
          <w:t>статьями 165</w:t>
        </w:r>
      </w:hyperlink>
      <w:r w:rsidRPr="00F478DD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F478DD">
          <w:rPr>
            <w:rFonts w:ascii="Times New Roman" w:hAnsi="Times New Roman" w:cs="Times New Roman"/>
            <w:sz w:val="26"/>
            <w:szCs w:val="26"/>
          </w:rPr>
          <w:t>189</w:t>
        </w:r>
      </w:hyperlink>
      <w:r w:rsidRPr="00F478DD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Федерации, </w:t>
      </w:r>
      <w:hyperlink r:id="rId8" w:history="1">
        <w:r w:rsidRPr="00F478DD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F478DD">
          <w:rPr>
            <w:rFonts w:ascii="Times New Roman" w:hAnsi="Times New Roman" w:cs="Times New Roman"/>
            <w:sz w:val="26"/>
            <w:szCs w:val="26"/>
          </w:rPr>
          <w:t>з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F478DD">
          <w:rPr>
            <w:rFonts w:ascii="Times New Roman" w:hAnsi="Times New Roman" w:cs="Times New Roman"/>
            <w:sz w:val="26"/>
            <w:szCs w:val="26"/>
          </w:rPr>
          <w:t xml:space="preserve"> пункта 2.11</w:t>
        </w:r>
      </w:hyperlink>
      <w:r w:rsidRPr="00F478DD">
        <w:rPr>
          <w:rFonts w:ascii="Times New Roman" w:hAnsi="Times New Roman" w:cs="Times New Roman"/>
          <w:sz w:val="26"/>
          <w:szCs w:val="26"/>
        </w:rPr>
        <w:t xml:space="preserve"> Порядка предоставления из средств местного бюджета управляющим организациям, товариществам собственников жилья субсидии на финансовое обеспечение (возмещение) затрат по проведению капитального ремонта многоквартирных домов жилищного фонда муниципального образования город Норильск, утвержденного </w:t>
      </w:r>
      <w:r w:rsidR="0000139A">
        <w:rPr>
          <w:rFonts w:ascii="Times New Roman" w:hAnsi="Times New Roman" w:cs="Times New Roman"/>
          <w:sz w:val="26"/>
          <w:szCs w:val="26"/>
        </w:rPr>
        <w:t>п</w:t>
      </w:r>
      <w:r w:rsidRPr="00F478DD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19.06.2009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478DD">
        <w:rPr>
          <w:rFonts w:ascii="Times New Roman" w:hAnsi="Times New Roman" w:cs="Times New Roman"/>
          <w:sz w:val="26"/>
          <w:szCs w:val="26"/>
        </w:rPr>
        <w:t xml:space="preserve"> 303, </w:t>
      </w:r>
    </w:p>
    <w:p w:rsidR="00EA2045" w:rsidRPr="00993407" w:rsidRDefault="00EA2045" w:rsidP="00EA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</w:t>
      </w:r>
      <w:r w:rsidRPr="00993407">
        <w:rPr>
          <w:rFonts w:ascii="Times New Roman" w:hAnsi="Times New Roman" w:cs="Times New Roman"/>
          <w:sz w:val="26"/>
          <w:szCs w:val="26"/>
        </w:rPr>
        <w:t>ВЛЯЮ:</w:t>
      </w:r>
    </w:p>
    <w:p w:rsidR="001B2D6E" w:rsidRDefault="001B2D6E" w:rsidP="00EA2045">
      <w:pPr>
        <w:pStyle w:val="a5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2045" w:rsidRPr="00F478DD" w:rsidRDefault="00EA2045" w:rsidP="001B2D6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8DD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9" w:history="1">
        <w:r w:rsidRPr="00F478DD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F478DD">
        <w:rPr>
          <w:rFonts w:ascii="Times New Roman" w:hAnsi="Times New Roman" w:cs="Times New Roman"/>
          <w:sz w:val="26"/>
          <w:szCs w:val="26"/>
        </w:rPr>
        <w:t xml:space="preserve"> многоквартирных домов, расположенных на территории муниципального образования город Норильск, включенных в Сводный титульный список, собственники которых не приняли решение о проведении капитального ремонта общего имущества в этих домах в соответствии с муниципальной </w:t>
      </w:r>
      <w:hyperlink r:id="rId10" w:history="1">
        <w:r w:rsidRPr="00F478DD">
          <w:rPr>
            <w:rFonts w:ascii="Times New Roman" w:hAnsi="Times New Roman" w:cs="Times New Roman"/>
            <w:sz w:val="26"/>
            <w:szCs w:val="26"/>
          </w:rPr>
          <w:t>программой</w:t>
        </w:r>
      </w:hyperlink>
      <w:r w:rsidRPr="00F478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478DD">
        <w:rPr>
          <w:rFonts w:ascii="Times New Roman" w:hAnsi="Times New Roman" w:cs="Times New Roman"/>
          <w:sz w:val="26"/>
          <w:szCs w:val="26"/>
        </w:rPr>
        <w:t>Реформирование и модернизация жилищно-коммунального хозяйства и повышение энергетической эффективности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478DD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Администрации города Норильска от 07.12.2016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1B2D6E">
        <w:rPr>
          <w:rFonts w:ascii="Times New Roman" w:hAnsi="Times New Roman" w:cs="Times New Roman"/>
          <w:sz w:val="26"/>
          <w:szCs w:val="26"/>
        </w:rPr>
        <w:t> </w:t>
      </w:r>
      <w:r w:rsidRPr="00F478DD">
        <w:rPr>
          <w:rFonts w:ascii="Times New Roman" w:hAnsi="Times New Roman" w:cs="Times New Roman"/>
          <w:sz w:val="26"/>
          <w:szCs w:val="26"/>
        </w:rPr>
        <w:t xml:space="preserve">585 (далее </w:t>
      </w:r>
      <w:r w:rsidR="001B2D6E">
        <w:rPr>
          <w:rFonts w:ascii="Times New Roman" w:hAnsi="Times New Roman" w:cs="Times New Roman"/>
          <w:sz w:val="26"/>
          <w:szCs w:val="26"/>
        </w:rPr>
        <w:t>–</w:t>
      </w:r>
      <w:r w:rsidRPr="00F478DD">
        <w:rPr>
          <w:rFonts w:ascii="Times New Roman" w:hAnsi="Times New Roman" w:cs="Times New Roman"/>
          <w:sz w:val="26"/>
          <w:szCs w:val="26"/>
        </w:rPr>
        <w:t xml:space="preserve"> Муниципальная программа), согласно приложению к настоящему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478DD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EA2045" w:rsidRPr="00267C70" w:rsidRDefault="00EA2045" w:rsidP="001B2D6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C70">
        <w:rPr>
          <w:rFonts w:ascii="Times New Roman" w:hAnsi="Times New Roman" w:cs="Times New Roman"/>
          <w:sz w:val="26"/>
          <w:szCs w:val="26"/>
        </w:rPr>
        <w:t xml:space="preserve">2. Провести капитальный ремонт общего имущества собственников помещений в многоквартирных домах, расположенных на территории муниципального образования город Норильск, включенных в Сводный титульный список, в соответствии с Муниципальной программой согласно </w:t>
      </w:r>
      <w:hyperlink r:id="rId11" w:history="1">
        <w:r w:rsidRPr="00267C70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267C70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67C70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EA2045" w:rsidRPr="004B1D9C" w:rsidRDefault="00EA2045" w:rsidP="001B2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C70">
        <w:rPr>
          <w:rFonts w:ascii="Times New Roman" w:hAnsi="Times New Roman" w:cs="Times New Roman"/>
          <w:sz w:val="26"/>
          <w:szCs w:val="26"/>
        </w:rPr>
        <w:lastRenderedPageBreak/>
        <w:t xml:space="preserve">3. Муниципальному казенному учреждению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67C70">
        <w:rPr>
          <w:rFonts w:ascii="Times New Roman" w:hAnsi="Times New Roman" w:cs="Times New Roman"/>
          <w:sz w:val="26"/>
          <w:szCs w:val="26"/>
        </w:rPr>
        <w:t>Управлению жилищно-коммунального хозяйства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67C70">
        <w:rPr>
          <w:rFonts w:ascii="Times New Roman" w:hAnsi="Times New Roman" w:cs="Times New Roman"/>
          <w:sz w:val="26"/>
          <w:szCs w:val="26"/>
        </w:rPr>
        <w:t xml:space="preserve"> в течение трех рабочих </w:t>
      </w:r>
      <w:r>
        <w:rPr>
          <w:rFonts w:ascii="Times New Roman" w:hAnsi="Times New Roman" w:cs="Times New Roman"/>
          <w:sz w:val="26"/>
          <w:szCs w:val="26"/>
        </w:rPr>
        <w:t>дней со дня издания настоящего п</w:t>
      </w:r>
      <w:r w:rsidRPr="00267C70">
        <w:rPr>
          <w:rFonts w:ascii="Times New Roman" w:hAnsi="Times New Roman" w:cs="Times New Roman"/>
          <w:sz w:val="26"/>
          <w:szCs w:val="26"/>
        </w:rPr>
        <w:t xml:space="preserve">остановления направить копию настоящего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67C70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D25ADA">
        <w:rPr>
          <w:rFonts w:ascii="Times New Roman" w:hAnsi="Times New Roman" w:cs="Times New Roman"/>
          <w:sz w:val="26"/>
          <w:szCs w:val="26"/>
        </w:rPr>
        <w:t>ООО «УК «ГОРОД»</w:t>
      </w:r>
      <w:r w:rsidRPr="00267C70">
        <w:rPr>
          <w:rFonts w:ascii="Times New Roman" w:hAnsi="Times New Roman" w:cs="Times New Roman"/>
          <w:sz w:val="26"/>
          <w:szCs w:val="26"/>
        </w:rPr>
        <w:t xml:space="preserve">, собственникам помещений многоквартирных домов, указанных в </w:t>
      </w:r>
      <w:hyperlink r:id="rId12" w:history="1">
        <w:r w:rsidRPr="00267C70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</w:hyperlink>
      <w:r w:rsidRPr="004B1D9C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постановлению, в том числе с использованием государственной информационной системы жилищно-коммунального хозяйства.</w:t>
      </w:r>
    </w:p>
    <w:p w:rsidR="00EA2045" w:rsidRPr="00267C70" w:rsidRDefault="00EA2045" w:rsidP="001B2D6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Опубликовать настоящее п</w:t>
      </w:r>
      <w:r w:rsidRPr="00267C70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67C70">
        <w:rPr>
          <w:rFonts w:ascii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67C70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EA2045" w:rsidRPr="00267C70" w:rsidRDefault="00EA2045" w:rsidP="001B2D6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Настоящее п</w:t>
      </w:r>
      <w:r w:rsidRPr="00267C70">
        <w:rPr>
          <w:rFonts w:ascii="Times New Roman" w:hAnsi="Times New Roman" w:cs="Times New Roman"/>
          <w:sz w:val="26"/>
          <w:szCs w:val="26"/>
        </w:rPr>
        <w:t>остановление вступает в силу с даты его подписания.</w:t>
      </w:r>
    </w:p>
    <w:p w:rsidR="00EA2045" w:rsidRDefault="00EA2045" w:rsidP="00EA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2045" w:rsidRDefault="00EA2045" w:rsidP="00EA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BA7" w:rsidRDefault="003E2BA7" w:rsidP="00EA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2045" w:rsidRDefault="00EA2045" w:rsidP="00EA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Д.В. Карасев</w:t>
      </w:r>
    </w:p>
    <w:p w:rsidR="00EA2045" w:rsidRDefault="00EA2045" w:rsidP="00EA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4EBE" w:rsidRPr="00F478DD" w:rsidRDefault="00D14EB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14EBE" w:rsidRPr="00F478DD" w:rsidRDefault="00D14EB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14EBE" w:rsidRPr="00F478DD" w:rsidRDefault="00D14EB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14EBE" w:rsidRPr="00F478DD" w:rsidRDefault="00D14EB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14EBE" w:rsidRPr="00F478DD" w:rsidRDefault="00D14EB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14EBE" w:rsidRPr="00F478DD" w:rsidRDefault="00D14EB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14EBE" w:rsidRPr="00F478DD" w:rsidRDefault="00D14EB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14EBE" w:rsidRPr="00F478DD" w:rsidRDefault="00D14EB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14EBE" w:rsidRPr="00F478DD" w:rsidRDefault="00D14EB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14EBE" w:rsidRPr="00F478DD" w:rsidRDefault="00D14EB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14EBE" w:rsidRPr="00F478DD" w:rsidRDefault="00D14EB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14EBE" w:rsidRPr="00F478DD" w:rsidRDefault="00D14EB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14EBE" w:rsidRPr="00F478DD" w:rsidRDefault="00D14EB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14EBE" w:rsidRPr="00F478DD" w:rsidRDefault="00D14EB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14EBE" w:rsidRPr="00F478DD" w:rsidRDefault="00D14EB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14EBE" w:rsidRDefault="00D14EB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7A32" w:rsidRDefault="00987A32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7A32" w:rsidRDefault="00987A32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7A32" w:rsidRDefault="00987A32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7A32" w:rsidRDefault="00987A32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7A32" w:rsidRDefault="00987A32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7A32" w:rsidRDefault="00987A32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7A32" w:rsidRDefault="00987A32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7A32" w:rsidRDefault="00987A32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7A32" w:rsidRDefault="00987A32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7A32" w:rsidRDefault="00987A32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7A32" w:rsidRDefault="00987A32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7A32" w:rsidRDefault="00987A32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7A32" w:rsidRDefault="00987A32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2D6E" w:rsidRDefault="001B2D6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2D6E" w:rsidRDefault="001B2D6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2D6E" w:rsidRDefault="001B2D6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2D6E" w:rsidRDefault="001B2D6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7A32" w:rsidRPr="00F478DD" w:rsidRDefault="00987A32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14EBE" w:rsidRPr="00F478DD" w:rsidRDefault="00D14EB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14EBE" w:rsidRPr="00F478DD" w:rsidRDefault="00D14EB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6E49" w:rsidRDefault="003C6E49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6E49" w:rsidRPr="00F478DD" w:rsidRDefault="003C6E49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14EBE" w:rsidRPr="00F478DD" w:rsidRDefault="00D14EB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22C38" w:rsidRPr="00F478DD" w:rsidRDefault="00E22C3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7A32" w:rsidRDefault="00987A32" w:rsidP="00C6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7A32" w:rsidRPr="00CD5425" w:rsidRDefault="00D25ADA" w:rsidP="00CD5425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4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CD5425" w:rsidRDefault="00D25ADA" w:rsidP="00CD5425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1B2D6E" w:rsidRPr="00CD542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42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остановлению Администрации</w:t>
      </w:r>
    </w:p>
    <w:p w:rsidR="00D25ADA" w:rsidRPr="00CD5425" w:rsidRDefault="00D25ADA" w:rsidP="00CD5425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</w:p>
    <w:p w:rsidR="00D25ADA" w:rsidRPr="00CD5425" w:rsidRDefault="00CD5425" w:rsidP="00CD5425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30.03.2022 № 185</w:t>
      </w:r>
      <w:bookmarkStart w:id="0" w:name="_GoBack"/>
      <w:bookmarkEnd w:id="0"/>
    </w:p>
    <w:p w:rsidR="00D25ADA" w:rsidRPr="00CD5425" w:rsidRDefault="00D25ADA" w:rsidP="00D25A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00" w:type="dxa"/>
        <w:jc w:val="center"/>
        <w:tblLook w:val="04A0" w:firstRow="1" w:lastRow="0" w:firstColumn="1" w:lastColumn="0" w:noHBand="0" w:noVBand="1"/>
      </w:tblPr>
      <w:tblGrid>
        <w:gridCol w:w="724"/>
        <w:gridCol w:w="4678"/>
        <w:gridCol w:w="3998"/>
      </w:tblGrid>
      <w:tr w:rsidR="002968E6" w:rsidRPr="00CD5425" w:rsidTr="00AC0A0E">
        <w:trPr>
          <w:trHeight w:val="5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8E6" w:rsidRPr="00CD5425" w:rsidRDefault="002968E6" w:rsidP="00D2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п\п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68E6" w:rsidRPr="00CD5425" w:rsidRDefault="002968E6" w:rsidP="00D2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многоквартирного дома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68E6" w:rsidRPr="00CD5425" w:rsidRDefault="002968E6" w:rsidP="00D2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работ</w:t>
            </w:r>
          </w:p>
        </w:tc>
      </w:tr>
      <w:tr w:rsidR="002968E6" w:rsidRPr="00CD5425" w:rsidTr="001B2D6E">
        <w:trPr>
          <w:trHeight w:val="5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2968E6" w:rsidP="00D25AD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8E6" w:rsidRPr="00CD5425" w:rsidRDefault="002968E6" w:rsidP="009B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="009B06EE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Надеждинская</w:t>
            </w:r>
            <w:proofErr w:type="spellEnd"/>
            <w:r w:rsidR="00905629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="009B06EE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А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30606B" w:rsidP="009B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</w:t>
            </w:r>
            <w:r w:rsidR="009B06EE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мягкой кровли</w:t>
            </w:r>
          </w:p>
        </w:tc>
      </w:tr>
      <w:tr w:rsidR="002968E6" w:rsidRPr="00CD5425" w:rsidTr="001B2D6E">
        <w:trPr>
          <w:trHeight w:val="5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2968E6" w:rsidP="00D25AD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8E6" w:rsidRPr="00CD5425" w:rsidRDefault="00905629" w:rsidP="009B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r w:rsidR="009B06EE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Норильская</w:t>
            </w: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="009B06EE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202DA7" w:rsidP="00E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</w:t>
            </w:r>
            <w:r w:rsidR="009B06EE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мягкой </w:t>
            </w:r>
            <w:r w:rsidR="00EA2045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кровли</w:t>
            </w:r>
          </w:p>
        </w:tc>
      </w:tr>
      <w:tr w:rsidR="002968E6" w:rsidRPr="00CD5425" w:rsidTr="001B2D6E">
        <w:trPr>
          <w:trHeight w:val="5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2968E6" w:rsidP="00D25AD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8E6" w:rsidRPr="00CD5425" w:rsidRDefault="00905629" w:rsidP="009B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r w:rsidR="009B06EE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Первомайская</w:t>
            </w: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1</w:t>
            </w:r>
            <w:r w:rsidR="009B06EE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202DA7" w:rsidP="0098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</w:t>
            </w:r>
            <w:r w:rsidR="009B06EE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мягкой кровли</w:t>
            </w:r>
          </w:p>
        </w:tc>
      </w:tr>
      <w:tr w:rsidR="002968E6" w:rsidRPr="00CD5425" w:rsidTr="001B2D6E">
        <w:trPr>
          <w:trHeight w:val="5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2968E6" w:rsidP="00D25AD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8E6" w:rsidRPr="00CD5425" w:rsidRDefault="00905629" w:rsidP="009B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="009B06EE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Надеждинская</w:t>
            </w:r>
            <w:proofErr w:type="spellEnd"/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="009B06EE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9B06EE" w:rsidP="0098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установке пластинчатых теплообменников для перехода на закрытую схему горячего водоснабжения</w:t>
            </w:r>
          </w:p>
        </w:tc>
      </w:tr>
      <w:tr w:rsidR="002968E6" w:rsidRPr="00CD5425" w:rsidTr="001B2D6E">
        <w:trPr>
          <w:trHeight w:val="5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2968E6" w:rsidP="00D25AD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8E6" w:rsidRPr="00CD5425" w:rsidRDefault="002968E6" w:rsidP="009B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r w:rsidR="009B06EE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Строительная</w:t>
            </w: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="00905629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B06EE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9B06EE" w:rsidP="0098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установке пластинчатых теплообменников для перехода на закрытую схему горячего водоснабжения</w:t>
            </w:r>
          </w:p>
        </w:tc>
      </w:tr>
      <w:tr w:rsidR="002968E6" w:rsidRPr="00CD5425" w:rsidTr="001B2D6E">
        <w:trPr>
          <w:trHeight w:val="52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2968E6" w:rsidP="00D25AD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8E6" w:rsidRPr="00CD5425" w:rsidRDefault="00905629" w:rsidP="009B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r w:rsidR="009B06EE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Строительная</w:t>
            </w: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="009B06EE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Б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9B06EE" w:rsidP="0098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установке пластинчатых теплообменников для перехода на закрытую схему горячего водоснабжения</w:t>
            </w:r>
          </w:p>
        </w:tc>
      </w:tr>
      <w:tr w:rsidR="002968E6" w:rsidRPr="00CD5425" w:rsidTr="001B2D6E">
        <w:trPr>
          <w:trHeight w:val="52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2968E6" w:rsidP="00D25AD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8E6" w:rsidRPr="00CD5425" w:rsidRDefault="00905629" w:rsidP="009B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r w:rsidR="009B06EE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Строительная</w:t>
            </w: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="009B06EE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В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9B06EE" w:rsidP="0098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установке пластинчатых теплообменников для перехода на закрытую схему горячего водоснабжения</w:t>
            </w:r>
          </w:p>
        </w:tc>
      </w:tr>
      <w:tr w:rsidR="002968E6" w:rsidRPr="00CD5425" w:rsidTr="001B2D6E">
        <w:trPr>
          <w:trHeight w:val="43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2968E6" w:rsidP="00D25AD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68E6" w:rsidRPr="00CD5425" w:rsidRDefault="00905629" w:rsidP="009B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r w:rsidR="009B06EE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Строительная</w:t>
            </w: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="009B06EE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9B06EE" w:rsidP="0098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установке пластинчатых теплообменников для перехода на закрытую схему горячего водоснабжения</w:t>
            </w:r>
          </w:p>
        </w:tc>
      </w:tr>
      <w:tr w:rsidR="002968E6" w:rsidRPr="00CD5425" w:rsidTr="001B2D6E">
        <w:trPr>
          <w:trHeight w:val="52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2968E6" w:rsidP="00D25AD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8E6" w:rsidRPr="00CD5425" w:rsidRDefault="002968E6" w:rsidP="009B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r w:rsidR="009B06EE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Строительная</w:t>
            </w:r>
            <w:r w:rsidR="00905629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="009B06EE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9B06EE" w:rsidP="0098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установке пластинчатых теплообменников для перехода на закрытую схему горячего водоснабжения</w:t>
            </w:r>
          </w:p>
        </w:tc>
      </w:tr>
      <w:tr w:rsidR="002968E6" w:rsidRPr="00CD5425" w:rsidTr="001B2D6E">
        <w:trPr>
          <w:trHeight w:val="52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2968E6" w:rsidP="00D25AD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8E6" w:rsidRPr="00CD5425" w:rsidRDefault="00905629" w:rsidP="009B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r w:rsidR="009B06EE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Школьная</w:t>
            </w: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="009B06EE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9B06EE" w:rsidP="0098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установке пластинчатых теплообменников для перехода на закрытую схему горячего водоснабжения</w:t>
            </w:r>
          </w:p>
        </w:tc>
      </w:tr>
      <w:tr w:rsidR="002968E6" w:rsidRPr="00CD5425" w:rsidTr="001B2D6E">
        <w:trPr>
          <w:trHeight w:val="52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2968E6" w:rsidP="00D25AD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8E6" w:rsidRPr="00CD5425" w:rsidRDefault="00905629" w:rsidP="009B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="009B06EE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Завенягина</w:t>
            </w:r>
            <w:proofErr w:type="spellEnd"/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9B06EE" w:rsidP="0098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сохранение устойчивости зданий перспективного жилищного фонда (бурение температурных трубок)</w:t>
            </w:r>
          </w:p>
        </w:tc>
      </w:tr>
      <w:tr w:rsidR="002968E6" w:rsidRPr="00CD5425" w:rsidTr="001B2D6E">
        <w:trPr>
          <w:trHeight w:val="52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2968E6" w:rsidP="00D25AD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8E6" w:rsidRPr="00CD5425" w:rsidRDefault="00905629" w:rsidP="009B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Комсомольская, д. </w:t>
            </w:r>
            <w:r w:rsidR="009B06EE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9B06EE" w:rsidP="0098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сохранение устойчивости зданий перспективного жилищного </w:t>
            </w: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фонда (бурение температурных трубок)</w:t>
            </w:r>
          </w:p>
        </w:tc>
      </w:tr>
      <w:tr w:rsidR="002968E6" w:rsidRPr="00CD5425" w:rsidTr="001B2D6E">
        <w:trPr>
          <w:trHeight w:val="52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2968E6" w:rsidP="00D25AD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8E6" w:rsidRPr="00CD5425" w:rsidRDefault="00905629" w:rsidP="00314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пр. </w:t>
            </w:r>
            <w:r w:rsidR="009B06EE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Комсомольская</w:t>
            </w: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3</w:t>
            </w:r>
            <w:r w:rsidR="009B06EE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9B06EE" w:rsidP="0098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сохранение устойчивости зданий перспективного жилищного фонда (бурение температурных трубок)</w:t>
            </w:r>
          </w:p>
        </w:tc>
      </w:tr>
      <w:tr w:rsidR="002968E6" w:rsidRPr="00CD5425" w:rsidTr="001B2D6E">
        <w:trPr>
          <w:trHeight w:val="52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2968E6" w:rsidP="00D25AD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8E6" w:rsidRPr="00CD5425" w:rsidRDefault="00905629" w:rsidP="00314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пр. </w:t>
            </w:r>
            <w:r w:rsidR="009B06EE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Комсомольская</w:t>
            </w: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="009B06EE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9B06EE" w:rsidP="0098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сохранение устойчивости зданий перспективного жилищного фонда (бурение температурных трубок)</w:t>
            </w:r>
          </w:p>
        </w:tc>
      </w:tr>
      <w:tr w:rsidR="002968E6" w:rsidRPr="00CD5425" w:rsidTr="001B2D6E">
        <w:trPr>
          <w:trHeight w:val="52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2968E6" w:rsidP="00D25AD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8E6" w:rsidRPr="00CD5425" w:rsidRDefault="00905629" w:rsidP="009B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пр. </w:t>
            </w:r>
            <w:r w:rsidR="009B06EE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Комсомольская</w:t>
            </w: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4</w:t>
            </w:r>
            <w:r w:rsidR="009B06EE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9B06EE" w:rsidP="0098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сохранение устойчивости зданий перспективного жилищного фонда (бурение температурных трубок)</w:t>
            </w:r>
          </w:p>
        </w:tc>
      </w:tr>
      <w:tr w:rsidR="002968E6" w:rsidRPr="00CD5425" w:rsidTr="001B2D6E">
        <w:trPr>
          <w:trHeight w:val="52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2968E6" w:rsidP="00D25AD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8E6" w:rsidRPr="00CD5425" w:rsidRDefault="002968E6" w:rsidP="009B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r w:rsidR="009B06EE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Лауреатов</w:t>
            </w:r>
            <w:r w:rsidR="00905629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="009B06EE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9B06EE" w:rsidP="0098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сохранение устойчивости зданий перспективного жилищного фонда</w:t>
            </w:r>
          </w:p>
        </w:tc>
      </w:tr>
      <w:tr w:rsidR="002968E6" w:rsidRPr="00CD5425" w:rsidTr="001B2D6E">
        <w:trPr>
          <w:trHeight w:val="52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2968E6" w:rsidP="00D25AD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8E6" w:rsidRPr="00CD5425" w:rsidRDefault="002968E6" w:rsidP="009B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r w:rsidR="009B06EE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Ленинградская</w:t>
            </w:r>
            <w:r w:rsidR="0030606B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="00475D02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9B06EE" w:rsidP="0098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сохранение устойчивости зданий перспективного жилищного фонда</w:t>
            </w:r>
          </w:p>
        </w:tc>
      </w:tr>
      <w:tr w:rsidR="002968E6" w:rsidRPr="00CD5425" w:rsidTr="001B2D6E">
        <w:trPr>
          <w:trHeight w:val="52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2968E6" w:rsidP="00D25AD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8E6" w:rsidRPr="00CD5425" w:rsidRDefault="009B06EE" w:rsidP="009B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</w:t>
            </w:r>
            <w:r w:rsidR="0030606B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Ленинский</w:t>
            </w:r>
            <w:r w:rsidR="0030606B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913CFE" w:rsidP="0098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сохранение устойчивости зданий перспективного жилищного фонда (бурение температурных трубок)</w:t>
            </w:r>
          </w:p>
        </w:tc>
      </w:tr>
      <w:tr w:rsidR="002968E6" w:rsidRPr="00CD5425" w:rsidTr="001B2D6E">
        <w:trPr>
          <w:trHeight w:val="52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2968E6" w:rsidP="00D25AD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68E6" w:rsidRPr="00CD5425" w:rsidRDefault="00913CFE" w:rsidP="0091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</w:t>
            </w:r>
            <w:r w:rsidR="0030606B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Ленинский</w:t>
            </w:r>
            <w:r w:rsidR="0030606B"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 Б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8E6" w:rsidRPr="00CD5425" w:rsidRDefault="00913CFE" w:rsidP="0098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сохранение устойчивости зданий перспективного жилищного фонда</w:t>
            </w:r>
          </w:p>
        </w:tc>
      </w:tr>
      <w:tr w:rsidR="00913CFE" w:rsidRPr="00CD5425" w:rsidTr="001B2D6E">
        <w:trPr>
          <w:trHeight w:val="52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CFE" w:rsidRPr="00CD5425" w:rsidRDefault="00913CFE" w:rsidP="00D25AD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CFE" w:rsidRPr="00CD5425" w:rsidRDefault="00913CFE" w:rsidP="0091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Ленинский, д. 42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CFE" w:rsidRPr="00CD5425" w:rsidRDefault="00913CFE" w:rsidP="0098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сохранение устойчивости зданий перспективного жилищного фонда</w:t>
            </w:r>
          </w:p>
        </w:tc>
      </w:tr>
      <w:tr w:rsidR="00913CFE" w:rsidRPr="00CD5425" w:rsidTr="001B2D6E">
        <w:trPr>
          <w:trHeight w:val="52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CFE" w:rsidRPr="00CD5425" w:rsidRDefault="00913CFE" w:rsidP="00D25AD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CFE" w:rsidRPr="00CD5425" w:rsidRDefault="00913CFE" w:rsidP="0091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Ленинский, д. 43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CFE" w:rsidRPr="00CD5425" w:rsidRDefault="00913CFE" w:rsidP="0098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сохранение устойчивости зданий перспективного жилищного фонда</w:t>
            </w:r>
          </w:p>
        </w:tc>
      </w:tr>
      <w:tr w:rsidR="00913CFE" w:rsidRPr="00CD5425" w:rsidTr="001B2D6E">
        <w:trPr>
          <w:trHeight w:val="52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CFE" w:rsidRPr="00CD5425" w:rsidRDefault="00913CFE" w:rsidP="00D25AD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CFE" w:rsidRPr="00CD5425" w:rsidRDefault="00913CFE" w:rsidP="0091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Ленинский, д. 44 А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CFE" w:rsidRPr="00CD5425" w:rsidRDefault="00913CFE" w:rsidP="0098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сохранение устойчивости зданий перспективного жилищного фонда</w:t>
            </w:r>
          </w:p>
        </w:tc>
      </w:tr>
      <w:tr w:rsidR="00913CFE" w:rsidRPr="00CD5425" w:rsidTr="001B2D6E">
        <w:trPr>
          <w:trHeight w:val="52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CFE" w:rsidRPr="00CD5425" w:rsidRDefault="00913CFE" w:rsidP="00D25AD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CFE" w:rsidRPr="00CD5425" w:rsidRDefault="00913CFE" w:rsidP="0091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Ленинский, д. 47 А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CFE" w:rsidRPr="00CD5425" w:rsidRDefault="00913CFE" w:rsidP="0098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сохранение устойчивости зданий перспективного жилищного фонда (бурение температурных трубок)</w:t>
            </w:r>
          </w:p>
        </w:tc>
      </w:tr>
      <w:tr w:rsidR="00913CFE" w:rsidRPr="00CD5425" w:rsidTr="001B2D6E">
        <w:trPr>
          <w:trHeight w:val="52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CFE" w:rsidRPr="00CD5425" w:rsidRDefault="00913CFE" w:rsidP="00D25AD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CFE" w:rsidRPr="00CD5425" w:rsidRDefault="00913CFE" w:rsidP="0091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Орджоникидзе, д. 6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CFE" w:rsidRPr="00CD5425" w:rsidRDefault="00913CFE" w:rsidP="0098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сохранение устойчивости зданий перспективного жилищного фонда (бурение температурных трубок)</w:t>
            </w:r>
          </w:p>
        </w:tc>
      </w:tr>
      <w:tr w:rsidR="00913CFE" w:rsidRPr="00CD5425" w:rsidTr="001B2D6E">
        <w:trPr>
          <w:trHeight w:val="52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CFE" w:rsidRPr="00CD5425" w:rsidRDefault="00913CFE" w:rsidP="00D25AD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CFE" w:rsidRPr="00CD5425" w:rsidRDefault="00913CFE" w:rsidP="0091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Орджоникидзе, д. 10 А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CFE" w:rsidRPr="00CD5425" w:rsidRDefault="00913CFE" w:rsidP="0098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сохранение устойчивости зданий перспективного жилищного фонда</w:t>
            </w:r>
          </w:p>
        </w:tc>
      </w:tr>
      <w:tr w:rsidR="00913CFE" w:rsidRPr="00CD5425" w:rsidTr="001B2D6E">
        <w:trPr>
          <w:trHeight w:val="52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CFE" w:rsidRPr="00CD5425" w:rsidRDefault="00913CFE" w:rsidP="00D25AD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CFE" w:rsidRPr="00CD5425" w:rsidRDefault="00913CFE" w:rsidP="0091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Орджоникидзе, д. 12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CFE" w:rsidRPr="00CD5425" w:rsidRDefault="00913CFE" w:rsidP="0098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сохранение устойчивости зданий перспективного жилищного фонда</w:t>
            </w:r>
          </w:p>
        </w:tc>
      </w:tr>
      <w:tr w:rsidR="00913CFE" w:rsidRPr="00CD5425" w:rsidTr="001B2D6E">
        <w:trPr>
          <w:trHeight w:val="52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CFE" w:rsidRPr="00CD5425" w:rsidRDefault="00913CFE" w:rsidP="00D25AD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CFE" w:rsidRPr="00CD5425" w:rsidRDefault="00913CFE" w:rsidP="0091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Орджоникидзе, д. 12 А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CFE" w:rsidRPr="00CD5425" w:rsidRDefault="00913CFE" w:rsidP="0098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сохранение устойчивости зданий перспективного жилищного фонда</w:t>
            </w:r>
          </w:p>
        </w:tc>
      </w:tr>
      <w:tr w:rsidR="00913CFE" w:rsidRPr="00CD5425" w:rsidTr="001B2D6E">
        <w:trPr>
          <w:trHeight w:val="52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CFE" w:rsidRPr="00CD5425" w:rsidRDefault="00913CFE" w:rsidP="00D25AD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CFE" w:rsidRPr="00CD5425" w:rsidRDefault="00913CFE" w:rsidP="0091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Орджоникидзе, д. 20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CFE" w:rsidRPr="00CD5425" w:rsidRDefault="00913CFE" w:rsidP="0098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сохранение устойчивости зданий перспективного жилищного фонда (бурение температурных трубок)</w:t>
            </w:r>
          </w:p>
        </w:tc>
      </w:tr>
      <w:tr w:rsidR="00913CFE" w:rsidRPr="00CD5425" w:rsidTr="001B2D6E">
        <w:trPr>
          <w:trHeight w:val="52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CFE" w:rsidRPr="00CD5425" w:rsidRDefault="00913CFE" w:rsidP="00D25AD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CFE" w:rsidRPr="00CD5425" w:rsidRDefault="00913CFE" w:rsidP="0091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Орджоникидзе, д. 22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CFE" w:rsidRPr="00CD5425" w:rsidRDefault="00913CFE" w:rsidP="0098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сохранение устойчивости зданий перспективного жилищного фонда (бурение температурных трубок)</w:t>
            </w:r>
          </w:p>
        </w:tc>
      </w:tr>
      <w:tr w:rsidR="00913CFE" w:rsidRPr="00CD5425" w:rsidTr="001B2D6E">
        <w:trPr>
          <w:trHeight w:val="52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CFE" w:rsidRPr="00CD5425" w:rsidRDefault="00913CFE" w:rsidP="00D25AD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CFE" w:rsidRPr="00CD5425" w:rsidRDefault="00913CFE" w:rsidP="0091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Талнахская, д. 77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CFE" w:rsidRPr="00CD5425" w:rsidRDefault="00913CFE" w:rsidP="0098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сохранение устойчивости зданий перспективного жилищного фонда (бурение температурных трубок)</w:t>
            </w:r>
          </w:p>
        </w:tc>
      </w:tr>
    </w:tbl>
    <w:p w:rsidR="00987A32" w:rsidRPr="00CD5425" w:rsidRDefault="00987A32" w:rsidP="00C6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A32" w:rsidRPr="00CD5425" w:rsidRDefault="00987A32" w:rsidP="00C6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A32" w:rsidRPr="00CD5425" w:rsidRDefault="00987A32" w:rsidP="00C6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A32" w:rsidRPr="00CD5425" w:rsidRDefault="00987A32" w:rsidP="00C6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A32" w:rsidRPr="00CD5425" w:rsidRDefault="00987A32" w:rsidP="00C6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A32" w:rsidRPr="00CD5425" w:rsidRDefault="00987A32" w:rsidP="00C6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A32" w:rsidRPr="00CD5425" w:rsidRDefault="00987A32" w:rsidP="00C601E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sectPr w:rsidR="00987A32" w:rsidRPr="00CD5425" w:rsidSect="001B2D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139A"/>
    <w:rsid w:val="0007769D"/>
    <w:rsid w:val="00084E5F"/>
    <w:rsid w:val="000F09FD"/>
    <w:rsid w:val="001B2D6E"/>
    <w:rsid w:val="001B4F4B"/>
    <w:rsid w:val="00202DA7"/>
    <w:rsid w:val="002402F2"/>
    <w:rsid w:val="002968E6"/>
    <w:rsid w:val="0030606B"/>
    <w:rsid w:val="00314B55"/>
    <w:rsid w:val="003C6E49"/>
    <w:rsid w:val="003E2BA7"/>
    <w:rsid w:val="004251ED"/>
    <w:rsid w:val="00475D02"/>
    <w:rsid w:val="00572BE7"/>
    <w:rsid w:val="006335A3"/>
    <w:rsid w:val="0063595A"/>
    <w:rsid w:val="00677BAC"/>
    <w:rsid w:val="006C4D7C"/>
    <w:rsid w:val="00756827"/>
    <w:rsid w:val="007A39B2"/>
    <w:rsid w:val="007A6358"/>
    <w:rsid w:val="00813360"/>
    <w:rsid w:val="008705C2"/>
    <w:rsid w:val="00905629"/>
    <w:rsid w:val="00913CFE"/>
    <w:rsid w:val="00973E33"/>
    <w:rsid w:val="00987A32"/>
    <w:rsid w:val="009B06EE"/>
    <w:rsid w:val="00AC0A0E"/>
    <w:rsid w:val="00AC1454"/>
    <w:rsid w:val="00B837AA"/>
    <w:rsid w:val="00BB752D"/>
    <w:rsid w:val="00C51352"/>
    <w:rsid w:val="00C54261"/>
    <w:rsid w:val="00C601E3"/>
    <w:rsid w:val="00C602B9"/>
    <w:rsid w:val="00CD5425"/>
    <w:rsid w:val="00D14EBE"/>
    <w:rsid w:val="00D25ADA"/>
    <w:rsid w:val="00D61996"/>
    <w:rsid w:val="00E22C38"/>
    <w:rsid w:val="00EA2045"/>
    <w:rsid w:val="00F478DD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2F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A20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D54E8A32B87754BB36F31BC3CCDA8C026AC1A35FC1FFFD02BE002FB05DB00B8FDF2D3A8F5A2BDFE86E85554517034B33138A771423FE773D5F94FEkCD5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D54E8A32B87754BB36ED16D5A0858302669CAA5AC0F5A35EE80678EF0DB65ECF9F2B6DC51A2D8AB92BD85D431C491B7558857416k3DCF" TargetMode="External"/><Relationship Id="rId12" Type="http://schemas.openxmlformats.org/officeDocument/2006/relationships/hyperlink" Target="consultantplus://offline/ref=7CD54E8A32B87754BB36F31BC3CCDA8C026AC1A35FC1FCFD07B8002FB05DB00B8FDF2D3A8F5A2BDFE86F8D514217034B33138A771423FE773D5F94FEkCD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D54E8A32B87754BB36ED16D5A0858302669CAA5AC0F5A35EE80678EF0DB65ECF9F2B6FCC1F22DAED64D90104495A19775886760A3FFF77k2D2F" TargetMode="External"/><Relationship Id="rId11" Type="http://schemas.openxmlformats.org/officeDocument/2006/relationships/hyperlink" Target="consultantplus://offline/ref=7CD54E8A32B87754BB36F31BC3CCDA8C026AC1A35FC1FCFD07B8002FB05DB00B8FDF2D3A8F5A2BDFE86F8D514217034B33138A771423FE773D5F94FEkCD5F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7CD54E8A32B87754BB36F31BC3CCDA8C026AC1A35FC1FFF002B4002FB05DB00B8FDF2D3A8F5A2BDFE16C8C514217034B33138A771423FE773D5F94FEkCD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D54E8A32B87754BB36F31BC3CCDA8C026AC1A35FC1FCFD07B8002FB05DB00B8FDF2D3A8F5A2BDFE86F8D514217034B33138A771423FE773D5F94FEkCD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5</cp:revision>
  <cp:lastPrinted>2022-03-21T05:26:00Z</cp:lastPrinted>
  <dcterms:created xsi:type="dcterms:W3CDTF">2022-03-18T03:53:00Z</dcterms:created>
  <dcterms:modified xsi:type="dcterms:W3CDTF">2022-03-30T07:24:00Z</dcterms:modified>
</cp:coreProperties>
</file>